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Tabel1"/>
        <w:tblpPr w:leftFromText="180" w:rightFromText="180" w:vertAnchor="text" w:horzAnchor="margin" w:tblpY="-18"/>
        <w:tblW w:w="1017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9"/>
        <w:gridCol w:w="4536"/>
        <w:gridCol w:w="3828"/>
      </w:tblGrid>
      <w:tr w:rsidR="00D93A65" w:rsidRPr="00D93A65" w:rsidTr="00A71D06">
        <w:trPr>
          <w:trHeight w:val="1098"/>
        </w:trPr>
        <w:tc>
          <w:tcPr>
            <w:tcW w:w="1809" w:type="dxa"/>
            <w:tcBorders>
              <w:top w:val="nil"/>
              <w:left w:val="nil"/>
              <w:bottom w:val="double" w:sz="4" w:space="0" w:color="auto"/>
              <w:right w:val="nil"/>
            </w:tcBorders>
            <w:hideMark/>
          </w:tcPr>
          <w:p w:rsidR="00D93A65" w:rsidRPr="00D93A65" w:rsidRDefault="00D93A65" w:rsidP="00D93A65">
            <w:pPr>
              <w:tabs>
                <w:tab w:val="center" w:pos="4680"/>
                <w:tab w:val="right" w:pos="9360"/>
              </w:tabs>
              <w:rPr>
                <w:rFonts w:ascii="Calibri" w:eastAsia="Calibri" w:hAnsi="Calibri"/>
                <w:color w:val="0F243E"/>
                <w:lang w:val="en-US" w:eastAsia="ro-RO"/>
              </w:rPr>
            </w:pPr>
            <w:r w:rsidRPr="00D93A65">
              <w:rPr>
                <w:rFonts w:ascii="Calibri" w:eastAsia="Calibri" w:hAnsi="Calibri"/>
                <w:noProof/>
                <w:color w:val="0F243E"/>
                <w:lang w:eastAsia="ro-RO"/>
              </w:rPr>
              <w:drawing>
                <wp:inline distT="0" distB="0" distL="0" distR="0" wp14:anchorId="6F1FAECC" wp14:editId="2D81AA6B">
                  <wp:extent cx="809625" cy="660020"/>
                  <wp:effectExtent l="0" t="0" r="0" b="698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15286" cy="664635"/>
                          </a:xfrm>
                          <a:prstGeom prst="rect">
                            <a:avLst/>
                          </a:prstGeom>
                          <a:noFill/>
                          <a:ln>
                            <a:noFill/>
                          </a:ln>
                        </pic:spPr>
                      </pic:pic>
                    </a:graphicData>
                  </a:graphic>
                </wp:inline>
              </w:drawing>
            </w:r>
          </w:p>
        </w:tc>
        <w:tc>
          <w:tcPr>
            <w:tcW w:w="4536" w:type="dxa"/>
            <w:tcBorders>
              <w:top w:val="nil"/>
              <w:left w:val="nil"/>
              <w:bottom w:val="double" w:sz="4" w:space="0" w:color="auto"/>
              <w:right w:val="nil"/>
            </w:tcBorders>
            <w:vAlign w:val="center"/>
            <w:hideMark/>
          </w:tcPr>
          <w:p w:rsidR="00D93A65" w:rsidRPr="00D93A65" w:rsidRDefault="00D93A65" w:rsidP="00D93A65">
            <w:pPr>
              <w:tabs>
                <w:tab w:val="center" w:pos="4680"/>
                <w:tab w:val="right" w:pos="9360"/>
              </w:tabs>
              <w:jc w:val="center"/>
              <w:rPr>
                <w:rFonts w:ascii="Palatino Linotype" w:eastAsia="Calibri" w:hAnsi="Palatino Linotype"/>
                <w:b/>
                <w:color w:val="244061"/>
                <w:lang w:val="es-ES" w:eastAsia="ro-RO"/>
              </w:rPr>
            </w:pPr>
            <w:r w:rsidRPr="00D93A65">
              <w:rPr>
                <w:rFonts w:ascii="Palatino Linotype" w:eastAsia="Calibri" w:hAnsi="Palatino Linotype"/>
                <w:b/>
                <w:color w:val="244061"/>
                <w:lang w:val="es-ES" w:eastAsia="ro-RO"/>
              </w:rPr>
              <w:t>INSPECTORATUL ŞCOLAR AL JUDEŢULUI CĂLĂRAŞI</w:t>
            </w:r>
          </w:p>
        </w:tc>
        <w:tc>
          <w:tcPr>
            <w:tcW w:w="3828" w:type="dxa"/>
            <w:tcBorders>
              <w:top w:val="nil"/>
              <w:left w:val="nil"/>
              <w:bottom w:val="double" w:sz="4" w:space="0" w:color="auto"/>
              <w:right w:val="nil"/>
            </w:tcBorders>
            <w:vAlign w:val="center"/>
            <w:hideMark/>
          </w:tcPr>
          <w:p w:rsidR="00D93A65" w:rsidRPr="00D93A65" w:rsidRDefault="00D93A65" w:rsidP="00D93A65">
            <w:pPr>
              <w:tabs>
                <w:tab w:val="center" w:pos="4680"/>
                <w:tab w:val="right" w:pos="9360"/>
              </w:tabs>
              <w:jc w:val="center"/>
              <w:rPr>
                <w:rFonts w:ascii="Calibri" w:eastAsia="Calibri" w:hAnsi="Calibri"/>
                <w:color w:val="0F243E"/>
                <w:lang w:val="en-US" w:eastAsia="ro-RO"/>
              </w:rPr>
            </w:pPr>
            <w:r w:rsidRPr="00D93A65">
              <w:rPr>
                <w:rFonts w:ascii="Calibri" w:eastAsia="Calibri" w:hAnsi="Calibri"/>
                <w:noProof/>
                <w:color w:val="0F243E"/>
                <w:lang w:eastAsia="ro-RO"/>
              </w:rPr>
              <w:drawing>
                <wp:inline distT="0" distB="0" distL="0" distR="0" wp14:anchorId="62738A55" wp14:editId="058ED951">
                  <wp:extent cx="2242156" cy="599556"/>
                  <wp:effectExtent l="0" t="0" r="6350" b="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58318" cy="603878"/>
                          </a:xfrm>
                          <a:prstGeom prst="rect">
                            <a:avLst/>
                          </a:prstGeom>
                          <a:noFill/>
                        </pic:spPr>
                      </pic:pic>
                    </a:graphicData>
                  </a:graphic>
                </wp:inline>
              </w:drawing>
            </w:r>
            <w:r w:rsidRPr="00D93A65">
              <w:rPr>
                <w:rFonts w:ascii="Calibri" w:eastAsia="Calibri" w:hAnsi="Calibri"/>
                <w:noProof/>
                <w:color w:val="0F243E"/>
                <w:lang w:eastAsia="ro-RO"/>
              </w:rPr>
              <w:drawing>
                <wp:anchor distT="0" distB="0" distL="114300" distR="114300" simplePos="0" relativeHeight="251659264" behindDoc="0" locked="0" layoutInCell="1" allowOverlap="1" wp14:anchorId="5433A442" wp14:editId="5C315BC8">
                  <wp:simplePos x="0" y="0"/>
                  <wp:positionH relativeFrom="column">
                    <wp:posOffset>3610610</wp:posOffset>
                  </wp:positionH>
                  <wp:positionV relativeFrom="paragraph">
                    <wp:posOffset>668655</wp:posOffset>
                  </wp:positionV>
                  <wp:extent cx="3318510" cy="618490"/>
                  <wp:effectExtent l="0" t="0" r="0" b="0"/>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18510" cy="6184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D93A65" w:rsidRPr="00D93A65" w:rsidRDefault="00D93A65" w:rsidP="00D93A65">
      <w:pPr>
        <w:spacing w:after="160" w:line="256" w:lineRule="auto"/>
        <w:rPr>
          <w:rFonts w:ascii="Calibri" w:eastAsia="Calibri" w:hAnsi="Calibri" w:cs="Times New Roman"/>
        </w:rPr>
      </w:pPr>
      <w:r w:rsidRPr="00D93A65">
        <w:rPr>
          <w:rFonts w:ascii="Calibri" w:eastAsia="Calibri" w:hAnsi="Calibri" w:cs="Times New Roman"/>
        </w:rPr>
        <w:tab/>
      </w:r>
      <w:r w:rsidRPr="00D93A65">
        <w:rPr>
          <w:rFonts w:ascii="Calibri" w:eastAsia="Calibri" w:hAnsi="Calibri" w:cs="Times New Roman"/>
        </w:rPr>
        <w:tab/>
      </w:r>
      <w:r w:rsidRPr="00D93A65">
        <w:rPr>
          <w:rFonts w:ascii="Calibri" w:eastAsia="Calibri" w:hAnsi="Calibri" w:cs="Times New Roman"/>
        </w:rPr>
        <w:tab/>
      </w:r>
      <w:r w:rsidRPr="00D93A65">
        <w:rPr>
          <w:rFonts w:ascii="Calibri" w:eastAsia="Calibri" w:hAnsi="Calibri" w:cs="Times New Roman"/>
        </w:rPr>
        <w:tab/>
      </w:r>
      <w:r w:rsidRPr="00D93A65">
        <w:rPr>
          <w:rFonts w:ascii="Calibri" w:eastAsia="Calibri" w:hAnsi="Calibri" w:cs="Times New Roman"/>
        </w:rPr>
        <w:tab/>
      </w:r>
      <w:r w:rsidRPr="00D93A65">
        <w:rPr>
          <w:rFonts w:ascii="Calibri" w:eastAsia="Calibri" w:hAnsi="Calibri" w:cs="Times New Roman"/>
        </w:rPr>
        <w:tab/>
      </w:r>
      <w:r w:rsidRPr="00D93A65">
        <w:rPr>
          <w:rFonts w:ascii="Calibri" w:eastAsia="Calibri" w:hAnsi="Calibri" w:cs="Times New Roman"/>
        </w:rPr>
        <w:tab/>
      </w:r>
      <w:r w:rsidRPr="00D93A65">
        <w:rPr>
          <w:rFonts w:ascii="Calibri" w:eastAsia="Calibri" w:hAnsi="Calibri" w:cs="Times New Roman"/>
        </w:rPr>
        <w:tab/>
      </w:r>
      <w:r w:rsidRPr="00D93A65">
        <w:rPr>
          <w:rFonts w:ascii="Calibri" w:eastAsia="Calibri" w:hAnsi="Calibri" w:cs="Times New Roman"/>
        </w:rPr>
        <w:tab/>
      </w:r>
      <w:r w:rsidRPr="00D93A65">
        <w:rPr>
          <w:rFonts w:ascii="Calibri" w:eastAsia="Calibri" w:hAnsi="Calibri" w:cs="Times New Roman"/>
        </w:rPr>
        <w:tab/>
      </w:r>
    </w:p>
    <w:p w:rsidR="00FE701B" w:rsidRDefault="00FE701B" w:rsidP="00EE3339">
      <w:pPr>
        <w:jc w:val="both"/>
        <w:rPr>
          <w:b/>
          <w:color w:val="0070C0"/>
        </w:rPr>
      </w:pPr>
    </w:p>
    <w:p w:rsidR="00EE3339" w:rsidRDefault="00EE3339" w:rsidP="00FE701B">
      <w:pPr>
        <w:jc w:val="center"/>
        <w:rPr>
          <w:b/>
          <w:color w:val="0070C0"/>
        </w:rPr>
      </w:pPr>
      <w:r w:rsidRPr="00D03F67">
        <w:rPr>
          <w:b/>
          <w:color w:val="0070C0"/>
        </w:rPr>
        <w:t>PE</w:t>
      </w:r>
      <w:bookmarkStart w:id="0" w:name="_GoBack"/>
      <w:bookmarkEnd w:id="0"/>
      <w:r w:rsidRPr="00D03F67">
        <w:rPr>
          <w:b/>
          <w:color w:val="0070C0"/>
        </w:rPr>
        <w:t>NSIONAREA</w:t>
      </w:r>
    </w:p>
    <w:p w:rsidR="00FE701B" w:rsidRPr="00D03F67" w:rsidRDefault="00FE701B" w:rsidP="00FE701B">
      <w:pPr>
        <w:spacing w:after="100" w:afterAutospacing="1"/>
        <w:jc w:val="center"/>
        <w:rPr>
          <w:b/>
          <w:color w:val="0070C0"/>
        </w:rPr>
      </w:pPr>
    </w:p>
    <w:p w:rsidR="00D624BB" w:rsidRPr="00D624BB" w:rsidRDefault="00EE3339" w:rsidP="00FE701B">
      <w:pPr>
        <w:pStyle w:val="Default"/>
        <w:spacing w:after="100" w:afterAutospacing="1"/>
        <w:jc w:val="both"/>
        <w:rPr>
          <w:rFonts w:ascii="Arial Narrow" w:hAnsi="Arial Narrow"/>
        </w:rPr>
      </w:pPr>
      <w:r w:rsidRPr="00D624BB">
        <w:rPr>
          <w:rFonts w:ascii="Arial Narrow" w:hAnsi="Arial Narrow"/>
        </w:rPr>
        <w:t xml:space="preserve">Art. 23 </w:t>
      </w:r>
      <w:r w:rsidR="0029640B" w:rsidRPr="0029640B">
        <w:rPr>
          <w:rFonts w:ascii="Arial Narrow" w:hAnsi="Arial Narrow"/>
        </w:rPr>
        <w:t>Cadrele didactice care îndeplinesc condiţiile legale de pensionare şi cadrele didactice pentru care nu s-a aprobat menţinerea în funcţie ca titular, peste vârsta de pensionare, se pensionează la data încheierii anului şcolar. Personalul didactic de conducere din unităţile de învăţământ, precum şi personalul de îndrumare şi control, care îndeplineşte condiţiile legale de pensionare şi care nu solicită pensionarea pe parcursul anului şcolar, poate rămâne în funcţie până la data încheierii anului şcolar, cu acordul consiliului de administraţie al unităţii de învăţământ, respectiv al inspectoratului şcolar. Pentru motive temeinice, pensionarea personalului didactic de predare, de conducere, de îndrumare şi control se poate face şi în timpul anului şcolar, cu aprobarea consiliului de administraţie al inspectoratului şcolar.</w:t>
      </w:r>
    </w:p>
    <w:p w:rsidR="0029640B" w:rsidRPr="0029640B" w:rsidRDefault="00D624BB" w:rsidP="0029640B">
      <w:pPr>
        <w:pStyle w:val="Default"/>
        <w:spacing w:after="100" w:afterAutospacing="1"/>
        <w:jc w:val="both"/>
        <w:rPr>
          <w:rFonts w:ascii="Arial Narrow" w:hAnsi="Arial Narrow"/>
        </w:rPr>
      </w:pPr>
      <w:proofErr w:type="spellStart"/>
      <w:r w:rsidRPr="00D624BB">
        <w:rPr>
          <w:rFonts w:ascii="Arial Narrow" w:hAnsi="Arial Narrow"/>
        </w:rPr>
        <w:t>Art</w:t>
      </w:r>
      <w:proofErr w:type="spellEnd"/>
      <w:r w:rsidRPr="00D624BB">
        <w:rPr>
          <w:rFonts w:ascii="Arial Narrow" w:hAnsi="Arial Narrow"/>
        </w:rPr>
        <w:t xml:space="preserve"> 28 (2) </w:t>
      </w:r>
      <w:r w:rsidR="0029640B" w:rsidRPr="0029640B">
        <w:rPr>
          <w:rFonts w:ascii="Arial Narrow" w:hAnsi="Arial Narrow"/>
        </w:rPr>
        <w:t>Condiţiile legale de pensionare, luând în calcul limita de vârstă şi stagiul de cotizare, la data de 1 septembrie 2016, sunt:</w:t>
      </w:r>
    </w:p>
    <w:p w:rsidR="0029640B" w:rsidRPr="0029640B" w:rsidRDefault="0029640B" w:rsidP="0029640B">
      <w:pPr>
        <w:pStyle w:val="Default"/>
        <w:spacing w:after="100" w:afterAutospacing="1"/>
        <w:jc w:val="both"/>
        <w:rPr>
          <w:rFonts w:ascii="Arial Narrow" w:hAnsi="Arial Narrow"/>
        </w:rPr>
      </w:pPr>
      <w:r w:rsidRPr="0029640B">
        <w:rPr>
          <w:rFonts w:ascii="Arial Narrow" w:hAnsi="Arial Narrow"/>
        </w:rPr>
        <w:t>a) pentru femei, vârsta la ieșirea la pensie, 60 ani şi 5 luni, respectiv 15 ani, stagiul minim de cotizare;</w:t>
      </w:r>
    </w:p>
    <w:p w:rsidR="00AE0B4E" w:rsidRDefault="0029640B" w:rsidP="0029640B">
      <w:pPr>
        <w:pStyle w:val="Default"/>
        <w:spacing w:after="100" w:afterAutospacing="1"/>
        <w:jc w:val="both"/>
      </w:pPr>
      <w:r w:rsidRPr="0029640B">
        <w:rPr>
          <w:rFonts w:ascii="Arial Narrow" w:hAnsi="Arial Narrow"/>
        </w:rPr>
        <w:t>b) pentru bărbați, vârsta la ieșirea la pensie, 65 ani, respectiv 15 ani, stagiul minim de cotizare.</w:t>
      </w:r>
    </w:p>
    <w:sectPr w:rsidR="00AE0B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339"/>
    <w:rsid w:val="0029640B"/>
    <w:rsid w:val="00AE0B4E"/>
    <w:rsid w:val="00D03F67"/>
    <w:rsid w:val="00D624BB"/>
    <w:rsid w:val="00D87301"/>
    <w:rsid w:val="00D93A65"/>
    <w:rsid w:val="00EE3339"/>
    <w:rsid w:val="00FE701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3339"/>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D624BB"/>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FE701B"/>
    <w:pPr>
      <w:tabs>
        <w:tab w:val="center" w:pos="4536"/>
        <w:tab w:val="right" w:pos="9072"/>
      </w:tabs>
      <w:spacing w:after="0" w:line="240" w:lineRule="auto"/>
    </w:pPr>
  </w:style>
  <w:style w:type="character" w:customStyle="1" w:styleId="AntetCaracter">
    <w:name w:val="Antet Caracter"/>
    <w:basedOn w:val="Fontdeparagrafimplicit"/>
    <w:link w:val="Antet"/>
    <w:rsid w:val="00FE701B"/>
  </w:style>
  <w:style w:type="table" w:customStyle="1" w:styleId="GrilTabel1">
    <w:name w:val="Grilă Tabel1"/>
    <w:basedOn w:val="TabelNormal"/>
    <w:rsid w:val="00D93A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D93A65"/>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93A6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3339"/>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D624BB"/>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FE701B"/>
    <w:pPr>
      <w:tabs>
        <w:tab w:val="center" w:pos="4536"/>
        <w:tab w:val="right" w:pos="9072"/>
      </w:tabs>
      <w:spacing w:after="0" w:line="240" w:lineRule="auto"/>
    </w:pPr>
  </w:style>
  <w:style w:type="character" w:customStyle="1" w:styleId="AntetCaracter">
    <w:name w:val="Antet Caracter"/>
    <w:basedOn w:val="Fontdeparagrafimplicit"/>
    <w:link w:val="Antet"/>
    <w:rsid w:val="00FE701B"/>
  </w:style>
  <w:style w:type="table" w:customStyle="1" w:styleId="GrilTabel1">
    <w:name w:val="Grilă Tabel1"/>
    <w:basedOn w:val="TabelNormal"/>
    <w:rsid w:val="00D93A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D93A65"/>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93A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Concurență">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185</Words>
  <Characters>1075</Characters>
  <Application>Microsoft Office Word</Application>
  <DocSecurity>0</DocSecurity>
  <Lines>8</Lines>
  <Paragraphs>2</Paragraphs>
  <ScaleCrop>false</ScaleCrop>
  <Company/>
  <LinksUpToDate>false</LinksUpToDate>
  <CharactersWithSpaces>1258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NICUSOR</dc:creator>
  <cp:lastModifiedBy>NICUSOR</cp:lastModifiedBy>
  <cp:revision>6</cp:revision>
  <dcterms:created xsi:type="dcterms:W3CDTF">2015-01-20T09:46:00Z</dcterms:created>
  <dcterms:modified xsi:type="dcterms:W3CDTF">2016-02-18T12:46:00Z</dcterms:modified>
</cp:coreProperties>
</file>